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DB" w:rsidRPr="00361A61" w:rsidRDefault="003041DB">
      <w:pPr>
        <w:rPr>
          <w:rFonts w:ascii="Times New Roman" w:hAnsi="Times New Roman"/>
          <w:sz w:val="20"/>
          <w:szCs w:val="20"/>
          <w:lang w:val="hr-HR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1945"/>
        <w:gridCol w:w="2255"/>
        <w:gridCol w:w="2246"/>
      </w:tblGrid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Naziv kolegija</w:t>
            </w:r>
          </w:p>
        </w:tc>
        <w:tc>
          <w:tcPr>
            <w:tcW w:w="6628" w:type="dxa"/>
            <w:gridSpan w:val="3"/>
            <w:vAlign w:val="center"/>
          </w:tcPr>
          <w:p w:rsidR="00FA145A" w:rsidRPr="00361A61" w:rsidRDefault="004A0858" w:rsidP="004A0858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sz w:val="20"/>
                <w:szCs w:val="20"/>
                <w:lang w:val="en-US"/>
              </w:rPr>
              <w:t>SISTEMI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A61">
              <w:rPr>
                <w:rFonts w:ascii="Times New Roman" w:hAnsi="Times New Roman"/>
                <w:sz w:val="20"/>
                <w:szCs w:val="20"/>
                <w:lang w:val="en-US"/>
              </w:rPr>
              <w:t>KVALITETA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A6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A61">
              <w:rPr>
                <w:rFonts w:ascii="Times New Roman" w:hAnsi="Times New Roman"/>
                <w:sz w:val="20"/>
                <w:szCs w:val="20"/>
                <w:lang w:val="en-US"/>
              </w:rPr>
              <w:t>PROIZVODNJI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A61">
              <w:rPr>
                <w:rFonts w:ascii="Times New Roman" w:hAnsi="Times New Roman"/>
                <w:sz w:val="20"/>
                <w:szCs w:val="20"/>
                <w:lang w:val="en-US"/>
              </w:rPr>
              <w:t>HRANE</w:t>
            </w: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Šifra</w:t>
            </w:r>
          </w:p>
        </w:tc>
        <w:tc>
          <w:tcPr>
            <w:tcW w:w="1984" w:type="dxa"/>
            <w:vAlign w:val="center"/>
          </w:tcPr>
          <w:p w:rsidR="00FA145A" w:rsidRPr="00361A61" w:rsidRDefault="004A0858" w:rsidP="004A0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sz w:val="20"/>
                <w:szCs w:val="20"/>
                <w:lang w:val="hr-HR"/>
              </w:rPr>
              <w:t>PI 16</w:t>
            </w:r>
          </w:p>
        </w:tc>
        <w:tc>
          <w:tcPr>
            <w:tcW w:w="2322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Status kolegija</w:t>
            </w:r>
          </w:p>
        </w:tc>
        <w:tc>
          <w:tcPr>
            <w:tcW w:w="2322" w:type="dxa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sz w:val="20"/>
                <w:szCs w:val="20"/>
                <w:lang w:val="hr-HR"/>
              </w:rPr>
              <w:t>izborni</w:t>
            </w: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6628" w:type="dxa"/>
            <w:gridSpan w:val="3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PREHRAMBENO INŽENJERSTVO</w:t>
            </w: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6628" w:type="dxa"/>
            <w:gridSpan w:val="3"/>
            <w:vAlign w:val="center"/>
          </w:tcPr>
          <w:p w:rsidR="00FA145A" w:rsidRPr="00361A61" w:rsidRDefault="00361A61" w:rsidP="00EC7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I</w:t>
            </w: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Nositelj kolegija</w:t>
            </w:r>
          </w:p>
        </w:tc>
        <w:tc>
          <w:tcPr>
            <w:tcW w:w="6628" w:type="dxa"/>
            <w:gridSpan w:val="3"/>
            <w:vAlign w:val="center"/>
          </w:tcPr>
          <w:p w:rsidR="00FA145A" w:rsidRPr="00361A61" w:rsidRDefault="00FA145A" w:rsidP="004A0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sz w:val="20"/>
                <w:szCs w:val="20"/>
                <w:lang w:val="hr-HR"/>
              </w:rPr>
              <w:t>Dr. sc. M</w:t>
            </w:r>
            <w:r w:rsidR="004A0858" w:rsidRPr="00361A61">
              <w:rPr>
                <w:rFonts w:ascii="Times New Roman" w:hAnsi="Times New Roman"/>
                <w:sz w:val="20"/>
                <w:szCs w:val="20"/>
                <w:lang w:val="hr-HR"/>
              </w:rPr>
              <w:t>eho Bašić</w:t>
            </w:r>
            <w:r w:rsidRPr="00361A61">
              <w:rPr>
                <w:rFonts w:ascii="Times New Roman" w:hAnsi="Times New Roman"/>
                <w:sz w:val="20"/>
                <w:szCs w:val="20"/>
                <w:lang w:val="hr-HR"/>
              </w:rPr>
              <w:t>, vanr. prof.</w:t>
            </w: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Suradnici na kolegiju</w:t>
            </w:r>
          </w:p>
        </w:tc>
        <w:tc>
          <w:tcPr>
            <w:tcW w:w="6628" w:type="dxa"/>
            <w:gridSpan w:val="3"/>
            <w:vAlign w:val="center"/>
          </w:tcPr>
          <w:p w:rsidR="00FA145A" w:rsidRPr="00361A61" w:rsidRDefault="00FA145A" w:rsidP="004A0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Dr. sc. </w:t>
            </w:r>
            <w:r w:rsidR="004A0858" w:rsidRPr="00361A61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Radoslav Grujić</w:t>
            </w:r>
            <w:r w:rsidRPr="00361A61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,</w:t>
            </w:r>
            <w:r w:rsidR="004A0858" w:rsidRPr="00361A61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red.</w:t>
            </w:r>
            <w:r w:rsidRPr="00361A61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prof.</w:t>
            </w: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628" w:type="dxa"/>
            <w:gridSpan w:val="3"/>
          </w:tcPr>
          <w:p w:rsidR="004A0858" w:rsidRPr="00361A61" w:rsidRDefault="004A0858" w:rsidP="004A0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Sistem upravljanja kvalitetom u proizvodnji hrane; Kvalitet prehrambenih proizvoda; Upravljanje kvalitetom; Principi projektovanja i razvoja sistema upravljanja kvalitetom; Kontrola kvaliteta kao podrška sistema upravljanja kvalitetom; Poboljšanja/unapređenja kvaliteta; Sistem upravljanja bezbednošću hrane; Sistem upravljanja kvalitetom poslovanja; Nove poslovne strategije.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Najvažniji sustavi upravljanja kvalitetom u prehrambenoj industriji su:</w:t>
            </w:r>
            <w:r w:rsidR="00361A61" w:rsidRPr="00361A61">
              <w:rPr>
                <w:rFonts w:ascii="Times New Roman" w:hAnsi="Times New Roman"/>
                <w:sz w:val="20"/>
                <w:szCs w:val="20"/>
              </w:rPr>
              <w:t xml:space="preserve"> Globalna inicijativa za sigurnost hrane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(GFSI), </w:t>
            </w:r>
            <w:r w:rsidR="00361A61" w:rsidRPr="00361A61">
              <w:rPr>
                <w:rFonts w:ascii="Times New Roman" w:hAnsi="Times New Roman"/>
                <w:sz w:val="20"/>
                <w:szCs w:val="20"/>
              </w:rPr>
              <w:t>Internacionalni standard za hranu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(IFS), </w:t>
            </w:r>
            <w:r w:rsidR="00361A61" w:rsidRPr="00361A61">
              <w:rPr>
                <w:rFonts w:ascii="Times New Roman" w:hAnsi="Times New Roman"/>
                <w:sz w:val="20"/>
                <w:szCs w:val="20"/>
              </w:rPr>
              <w:t>Britanski maloprodajni konzorcij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(BRC), </w:t>
            </w:r>
            <w:r w:rsidR="00361A61" w:rsidRPr="00361A61">
              <w:rPr>
                <w:rFonts w:ascii="Times New Roman" w:hAnsi="Times New Roman"/>
                <w:sz w:val="20"/>
                <w:szCs w:val="20"/>
              </w:rPr>
              <w:t>Sigurnost i kvalitet hrane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 (SQF) 2000 i </w:t>
            </w:r>
            <w:r w:rsidR="00361A61" w:rsidRPr="00361A61">
              <w:rPr>
                <w:rFonts w:ascii="Times New Roman" w:hAnsi="Times New Roman"/>
                <w:sz w:val="20"/>
                <w:szCs w:val="20"/>
              </w:rPr>
              <w:t>Internacionalna organizacija za standardizaciju i sigurnost hrane( ISO 22000:2005)</w:t>
            </w:r>
            <w:r w:rsidRPr="00361A6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A145A" w:rsidRPr="00361A61" w:rsidRDefault="00FA145A" w:rsidP="0036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Opšta i posebna znanja koja se stiču na kolegiju (cilj)</w:t>
            </w:r>
          </w:p>
        </w:tc>
        <w:tc>
          <w:tcPr>
            <w:tcW w:w="6628" w:type="dxa"/>
            <w:gridSpan w:val="3"/>
          </w:tcPr>
          <w:p w:rsidR="00361A61" w:rsidRPr="00B94AC5" w:rsidRDefault="00361A61" w:rsidP="0036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AC5">
              <w:rPr>
                <w:rFonts w:ascii="Times New Roman" w:hAnsi="Times New Roman"/>
                <w:sz w:val="20"/>
                <w:szCs w:val="20"/>
              </w:rPr>
              <w:t xml:space="preserve">Ciljevi izučavanja ovog predmeta su: osiguranje zaštite potrošaca te jacanje i održavanje njihovog povjerenja, poboljšavanje ucinkovitosti troškova duž lanca </w:t>
            </w:r>
            <w:r w:rsidR="00B94AC5">
              <w:rPr>
                <w:rFonts w:ascii="Times New Roman" w:hAnsi="Times New Roman"/>
                <w:sz w:val="20"/>
                <w:szCs w:val="20"/>
              </w:rPr>
              <w:t>snabdijevanja</w:t>
            </w:r>
            <w:r w:rsidRPr="00B94AC5">
              <w:rPr>
                <w:rFonts w:ascii="Times New Roman" w:hAnsi="Times New Roman"/>
                <w:sz w:val="20"/>
                <w:szCs w:val="20"/>
              </w:rPr>
              <w:t xml:space="preserve"> hranom, kroz zajednicko prihvacanje GFSI priznatih standarda od</w:t>
            </w:r>
            <w:r w:rsidR="00B94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AC5">
              <w:rPr>
                <w:rFonts w:ascii="Times New Roman" w:hAnsi="Times New Roman"/>
                <w:sz w:val="20"/>
                <w:szCs w:val="20"/>
              </w:rPr>
              <w:t xml:space="preserve">strane trgovaca na malo </w:t>
            </w:r>
            <w:r w:rsidR="00B94AC5">
              <w:rPr>
                <w:rFonts w:ascii="Times New Roman" w:hAnsi="Times New Roman"/>
                <w:sz w:val="20"/>
                <w:szCs w:val="20"/>
              </w:rPr>
              <w:t>širom</w:t>
            </w:r>
            <w:r w:rsidRPr="00B94AC5">
              <w:rPr>
                <w:rFonts w:ascii="Times New Roman" w:hAnsi="Times New Roman"/>
                <w:sz w:val="20"/>
                <w:szCs w:val="20"/>
              </w:rPr>
              <w:t xml:space="preserve"> svijeta, osiguranje jedinstvene </w:t>
            </w:r>
            <w:r w:rsidR="00B94AC5">
              <w:rPr>
                <w:rFonts w:ascii="Times New Roman" w:hAnsi="Times New Roman"/>
                <w:sz w:val="20"/>
                <w:szCs w:val="20"/>
              </w:rPr>
              <w:t>međ</w:t>
            </w:r>
            <w:r w:rsidRPr="00B94AC5">
              <w:rPr>
                <w:rFonts w:ascii="Times New Roman" w:hAnsi="Times New Roman"/>
                <w:sz w:val="20"/>
                <w:szCs w:val="20"/>
              </w:rPr>
              <w:t>unarodne platforme za umrežavanje, razmjenu znanja i informacija te najboljih praksi sigurnosti hrane.</w:t>
            </w:r>
          </w:p>
          <w:p w:rsidR="00FA145A" w:rsidRPr="00361A61" w:rsidRDefault="00B94AC5" w:rsidP="00B94A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Predmet treba da omogući studentu sticanje znanja/razumevanja savremene filosofije, pristupa i principa upravljanja kvalitetom, organizacije funkcije upravljanja kvalitetom, specifičnih metoda upravljanja i kontrolisanja kvaliteta, novih poslovnih strategija, novih sistema i konkretnih aktivnosti upravljanja kvalitetom.</w:t>
            </w: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Nastava</w:t>
            </w:r>
          </w:p>
        </w:tc>
        <w:tc>
          <w:tcPr>
            <w:tcW w:w="1984" w:type="dxa"/>
            <w:vAlign w:val="center"/>
          </w:tcPr>
          <w:p w:rsidR="00FA145A" w:rsidRPr="00361A61" w:rsidRDefault="00FA145A" w:rsidP="00EC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2322" w:type="dxa"/>
            <w:vAlign w:val="center"/>
          </w:tcPr>
          <w:p w:rsidR="00FA145A" w:rsidRPr="00361A61" w:rsidRDefault="00FA145A" w:rsidP="00EC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2322" w:type="dxa"/>
            <w:vAlign w:val="center"/>
          </w:tcPr>
          <w:p w:rsidR="00FA145A" w:rsidRPr="00361A61" w:rsidRDefault="00FA145A" w:rsidP="00EC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Vježbe</w:t>
            </w:r>
          </w:p>
        </w:tc>
      </w:tr>
      <w:tr w:rsidR="00FA145A" w:rsidRPr="00361A61" w:rsidTr="00EC7375"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sati/sedmično</w:t>
            </w:r>
          </w:p>
        </w:tc>
        <w:tc>
          <w:tcPr>
            <w:tcW w:w="1984" w:type="dxa"/>
            <w:vAlign w:val="center"/>
          </w:tcPr>
          <w:p w:rsidR="00FA145A" w:rsidRPr="00361A61" w:rsidRDefault="00B94AC5" w:rsidP="00EC7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0,8</w:t>
            </w:r>
          </w:p>
        </w:tc>
        <w:tc>
          <w:tcPr>
            <w:tcW w:w="2322" w:type="dxa"/>
            <w:vAlign w:val="center"/>
          </w:tcPr>
          <w:p w:rsidR="00FA145A" w:rsidRPr="00361A61" w:rsidRDefault="00B94AC5" w:rsidP="00EC7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2322" w:type="dxa"/>
            <w:vAlign w:val="center"/>
          </w:tcPr>
          <w:p w:rsidR="00FA145A" w:rsidRPr="00361A61" w:rsidRDefault="00B94AC5" w:rsidP="00EC7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</w:p>
        </w:tc>
      </w:tr>
      <w:tr w:rsidR="00FA145A" w:rsidRPr="00361A61" w:rsidTr="00EC7375"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984" w:type="dxa"/>
            <w:vAlign w:val="center"/>
          </w:tcPr>
          <w:p w:rsidR="00FA145A" w:rsidRPr="00361A61" w:rsidRDefault="00B94AC5" w:rsidP="00EC7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12</w:t>
            </w:r>
          </w:p>
        </w:tc>
        <w:tc>
          <w:tcPr>
            <w:tcW w:w="2322" w:type="dxa"/>
            <w:vAlign w:val="center"/>
          </w:tcPr>
          <w:p w:rsidR="00FA145A" w:rsidRPr="00361A61" w:rsidRDefault="00B94AC5" w:rsidP="00EC7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2322" w:type="dxa"/>
            <w:vAlign w:val="center"/>
          </w:tcPr>
          <w:p w:rsidR="00FA145A" w:rsidRPr="00361A61" w:rsidRDefault="00FA145A" w:rsidP="00EC7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Način polaganja ispita</w:t>
            </w:r>
          </w:p>
        </w:tc>
        <w:tc>
          <w:tcPr>
            <w:tcW w:w="6628" w:type="dxa"/>
            <w:gridSpan w:val="3"/>
            <w:vAlign w:val="center"/>
          </w:tcPr>
          <w:p w:rsidR="00FA145A" w:rsidRPr="00361A61" w:rsidRDefault="00FA145A" w:rsidP="00EC73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61A61">
              <w:rPr>
                <w:color w:val="000000"/>
                <w:sz w:val="20"/>
                <w:szCs w:val="20"/>
              </w:rPr>
              <w:t xml:space="preserve">Ispit se polaže putem </w:t>
            </w:r>
            <w:r w:rsidR="00B94AC5">
              <w:rPr>
                <w:color w:val="000000"/>
                <w:sz w:val="20"/>
                <w:szCs w:val="20"/>
              </w:rPr>
              <w:t xml:space="preserve">izrade i prezentacije </w:t>
            </w:r>
            <w:r w:rsidRPr="00361A61">
              <w:rPr>
                <w:color w:val="000000"/>
                <w:sz w:val="20"/>
                <w:szCs w:val="20"/>
              </w:rPr>
              <w:t>seminarskog rada i usmeno.</w:t>
            </w: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Bodovi</w:t>
            </w:r>
          </w:p>
        </w:tc>
        <w:tc>
          <w:tcPr>
            <w:tcW w:w="1984" w:type="dxa"/>
            <w:vAlign w:val="center"/>
          </w:tcPr>
          <w:p w:rsidR="00FA145A" w:rsidRPr="00361A61" w:rsidRDefault="00342494" w:rsidP="00EC7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5</w:t>
            </w:r>
            <w:bookmarkStart w:id="0" w:name="_GoBack"/>
            <w:bookmarkEnd w:id="0"/>
          </w:p>
        </w:tc>
        <w:tc>
          <w:tcPr>
            <w:tcW w:w="2322" w:type="dxa"/>
            <w:shd w:val="clear" w:color="auto" w:fill="BFBFBF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Je</w:t>
            </w:r>
            <w:r w:rsidRPr="00361A61">
              <w:rPr>
                <w:rFonts w:ascii="Times New Roman" w:hAnsi="Times New Roman"/>
                <w:b/>
                <w:sz w:val="20"/>
                <w:szCs w:val="20"/>
                <w:shd w:val="clear" w:color="auto" w:fill="BFBFBF"/>
                <w:lang w:val="hr-HR"/>
              </w:rPr>
              <w:t>zik</w:t>
            </w:r>
          </w:p>
        </w:tc>
        <w:tc>
          <w:tcPr>
            <w:tcW w:w="2322" w:type="dxa"/>
            <w:vAlign w:val="center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Obavezna literatura</w:t>
            </w:r>
          </w:p>
        </w:tc>
        <w:tc>
          <w:tcPr>
            <w:tcW w:w="6628" w:type="dxa"/>
            <w:gridSpan w:val="3"/>
          </w:tcPr>
          <w:p w:rsidR="00B94AC5" w:rsidRPr="00B94AC5" w:rsidRDefault="00B94AC5" w:rsidP="00B94AC5">
            <w:pPr>
              <w:numPr>
                <w:ilvl w:val="0"/>
                <w:numId w:val="1"/>
              </w:numPr>
              <w:tabs>
                <w:tab w:val="num" w:pos="25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94AC5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 xml:space="preserve"> 1.Standard ISO 9000 ff,Standard ISO 22000,Standard BRC,Standard HACCP,GMP</w:t>
            </w:r>
          </w:p>
          <w:p w:rsidR="00B94AC5" w:rsidRPr="00B94AC5" w:rsidRDefault="00B94AC5" w:rsidP="00B94AC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94AC5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 xml:space="preserve">2.A. Bolton:  </w:t>
            </w:r>
            <w:r w:rsidRPr="00B94AC5">
              <w:rPr>
                <w:rFonts w:ascii="Times New Roman" w:hAnsi="Times New Roman"/>
                <w:i/>
                <w:color w:val="000000"/>
                <w:sz w:val="20"/>
                <w:szCs w:val="20"/>
                <w:lang w:eastAsia="hr-HR"/>
              </w:rPr>
              <w:t>QualityManagementSystems for the FoodIndustry</w:t>
            </w:r>
            <w:r w:rsidRPr="00B94AC5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, AspenFood Science, New York, 1996.</w:t>
            </w:r>
          </w:p>
          <w:p w:rsidR="00B94AC5" w:rsidRPr="00B94AC5" w:rsidRDefault="00B94AC5" w:rsidP="00B94AC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94AC5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3.R. Early: Guide to QualityManagementSystems for the FoodIndustry, Kluwer Academic Publishers, 1994.</w:t>
            </w:r>
          </w:p>
          <w:p w:rsidR="00B94AC5" w:rsidRPr="00B94AC5" w:rsidRDefault="00B94AC5" w:rsidP="00B94AC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94AC5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 xml:space="preserve">4.L. Manning: </w:t>
            </w:r>
            <w:r w:rsidRPr="00B94AC5">
              <w:rPr>
                <w:rFonts w:ascii="Times New Roman" w:hAnsi="Times New Roman"/>
                <w:i/>
                <w:color w:val="000000"/>
                <w:sz w:val="20"/>
                <w:szCs w:val="20"/>
                <w:lang w:eastAsia="hr-HR"/>
              </w:rPr>
              <w:t>QualityManagementSystems in the Food and DrinkIndustry,</w:t>
            </w:r>
            <w:r w:rsidRPr="00B94AC5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Chadwick House GroupLtd., 2000.</w:t>
            </w:r>
          </w:p>
          <w:p w:rsidR="00FA145A" w:rsidRPr="00B94AC5" w:rsidRDefault="00FA145A" w:rsidP="00B94AC5">
            <w:pPr>
              <w:pStyle w:val="Default"/>
              <w:rPr>
                <w:sz w:val="20"/>
                <w:szCs w:val="20"/>
                <w:lang w:val="hr-HR"/>
              </w:rPr>
            </w:pPr>
          </w:p>
        </w:tc>
      </w:tr>
      <w:tr w:rsidR="00FA145A" w:rsidRPr="00361A61" w:rsidTr="00EC7375">
        <w:trPr>
          <w:trHeight w:val="397"/>
        </w:trPr>
        <w:tc>
          <w:tcPr>
            <w:tcW w:w="2660" w:type="dxa"/>
            <w:shd w:val="clear" w:color="auto" w:fill="BFBFBF"/>
          </w:tcPr>
          <w:p w:rsidR="00FA145A" w:rsidRPr="00361A61" w:rsidRDefault="00FA145A" w:rsidP="00EC73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361A6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Preporučena literatura</w:t>
            </w:r>
          </w:p>
        </w:tc>
        <w:tc>
          <w:tcPr>
            <w:tcW w:w="6628" w:type="dxa"/>
            <w:gridSpan w:val="3"/>
          </w:tcPr>
          <w:p w:rsidR="00B94AC5" w:rsidRPr="00B94AC5" w:rsidRDefault="00B94AC5" w:rsidP="00B94AC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Pr="00B94A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N. Injac: </w:t>
            </w:r>
            <w:r w:rsidRPr="00B94AC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hr-HR"/>
              </w:rPr>
              <w:t>Mala enciklopedija klalitete-informacija, dokumentacija</w:t>
            </w:r>
            <w:r w:rsidRPr="00B94A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hr-HR"/>
              </w:rPr>
              <w:t>, audit,II dio, Oskar, Zagreb, 2002.</w:t>
            </w:r>
          </w:p>
          <w:p w:rsidR="00B94AC5" w:rsidRPr="00B94AC5" w:rsidRDefault="00B94AC5" w:rsidP="00B94AC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hr-HR"/>
              </w:rPr>
              <w:t>2.</w:t>
            </w:r>
            <w:r w:rsidRPr="00B94A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hr-HR"/>
              </w:rPr>
              <w:t>N. Injac:  Mala ekciklopedijaklalitete-moderna povijest kvalitete, III dio, Oskar, Zagreb, 1998.</w:t>
            </w:r>
          </w:p>
          <w:p w:rsidR="00FA145A" w:rsidRPr="00B94AC5" w:rsidRDefault="00B94AC5" w:rsidP="00B94AC5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bs-Latn-BA" w:eastAsia="hr-HR"/>
              </w:rPr>
              <w:t>3.</w:t>
            </w:r>
            <w:r w:rsidRPr="00B94AC5">
              <w:rPr>
                <w:bCs/>
                <w:sz w:val="20"/>
                <w:szCs w:val="20"/>
                <w:lang w:val="bs-Latn-BA" w:eastAsia="hr-HR"/>
              </w:rPr>
              <w:t>V. Stoiljković, P. Stoiljković, B.,Stoiljković, , Z. Obradović: Integrisani sistemi menadžmenta, Mašinski fakultet Niš, Niš, 2006.</w:t>
            </w:r>
          </w:p>
        </w:tc>
      </w:tr>
    </w:tbl>
    <w:p w:rsidR="00FA145A" w:rsidRPr="00361A61" w:rsidRDefault="00FA145A">
      <w:pPr>
        <w:rPr>
          <w:rFonts w:ascii="Times New Roman" w:hAnsi="Times New Roman"/>
          <w:sz w:val="20"/>
          <w:szCs w:val="20"/>
          <w:lang w:val="hr-HR"/>
        </w:rPr>
      </w:pPr>
    </w:p>
    <w:sectPr w:rsidR="00FA145A" w:rsidRPr="00361A61" w:rsidSect="00A4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C9" w:rsidRDefault="00D66AC9" w:rsidP="00B94AC5">
      <w:pPr>
        <w:spacing w:after="0" w:line="240" w:lineRule="auto"/>
      </w:pPr>
      <w:r>
        <w:separator/>
      </w:r>
    </w:p>
  </w:endnote>
  <w:endnote w:type="continuationSeparator" w:id="0">
    <w:p w:rsidR="00D66AC9" w:rsidRDefault="00D66AC9" w:rsidP="00B9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C9" w:rsidRDefault="00D66AC9" w:rsidP="00B94AC5">
      <w:pPr>
        <w:spacing w:after="0" w:line="240" w:lineRule="auto"/>
      </w:pPr>
      <w:r>
        <w:separator/>
      </w:r>
    </w:p>
  </w:footnote>
  <w:footnote w:type="continuationSeparator" w:id="0">
    <w:p w:rsidR="00D66AC9" w:rsidRDefault="00D66AC9" w:rsidP="00B9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00C72"/>
    <w:multiLevelType w:val="hybridMultilevel"/>
    <w:tmpl w:val="60482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5A"/>
    <w:rsid w:val="00230D2F"/>
    <w:rsid w:val="0025504F"/>
    <w:rsid w:val="0027750B"/>
    <w:rsid w:val="003041DB"/>
    <w:rsid w:val="0031597C"/>
    <w:rsid w:val="00342494"/>
    <w:rsid w:val="00361A61"/>
    <w:rsid w:val="003E49EA"/>
    <w:rsid w:val="004A0858"/>
    <w:rsid w:val="0056016D"/>
    <w:rsid w:val="005E1736"/>
    <w:rsid w:val="005E3FDD"/>
    <w:rsid w:val="008B01DC"/>
    <w:rsid w:val="008D1B51"/>
    <w:rsid w:val="0094762C"/>
    <w:rsid w:val="00997447"/>
    <w:rsid w:val="009D2732"/>
    <w:rsid w:val="00A279ED"/>
    <w:rsid w:val="00A461BC"/>
    <w:rsid w:val="00B94AC5"/>
    <w:rsid w:val="00C031DD"/>
    <w:rsid w:val="00C12002"/>
    <w:rsid w:val="00C51946"/>
    <w:rsid w:val="00D66AC9"/>
    <w:rsid w:val="00EC7375"/>
    <w:rsid w:val="00EF614F"/>
    <w:rsid w:val="00F92D57"/>
    <w:rsid w:val="00F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6947C-E8F8-422F-8B80-44A0ACC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5A"/>
    <w:pPr>
      <w:spacing w:after="200" w:line="276" w:lineRule="auto"/>
    </w:pPr>
    <w:rPr>
      <w:rFonts w:ascii="Calibri" w:eastAsia="Calibri" w:hAnsi="Calibri"/>
      <w:sz w:val="22"/>
      <w:szCs w:val="22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A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uiPriority w:val="22"/>
    <w:qFormat/>
    <w:rsid w:val="00FA145A"/>
    <w:rPr>
      <w:b/>
      <w:bCs/>
    </w:rPr>
  </w:style>
  <w:style w:type="paragraph" w:customStyle="1" w:styleId="Default">
    <w:name w:val="Default"/>
    <w:rsid w:val="00FA145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94AC5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9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AC5"/>
    <w:rPr>
      <w:rFonts w:ascii="Calibri" w:eastAsia="Calibri" w:hAnsi="Calibri"/>
      <w:sz w:val="22"/>
      <w:szCs w:val="22"/>
      <w:lang w:val="bs-Latn-BA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9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AC5"/>
    <w:rPr>
      <w:rFonts w:ascii="Calibri" w:eastAsia="Calibri" w:hAnsi="Calibri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Korisnik</cp:lastModifiedBy>
  <cp:revision>3</cp:revision>
  <dcterms:created xsi:type="dcterms:W3CDTF">2017-09-29T07:07:00Z</dcterms:created>
  <dcterms:modified xsi:type="dcterms:W3CDTF">2017-09-29T07:08:00Z</dcterms:modified>
</cp:coreProperties>
</file>