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CAA1D">
      <w:pPr>
        <w:spacing w:after="0" w:line="240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UNIVERZITET U TUZLI</w:t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</w:p>
    <w:p w14:paraId="509B60E3">
      <w:pPr>
        <w:spacing w:after="0" w:line="240" w:lineRule="auto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AKADEMIJA DRAMSKIH UMJETNOSTI</w:t>
      </w:r>
    </w:p>
    <w:p w14:paraId="7AC2C5FC">
      <w:pPr>
        <w:pStyle w:val="4"/>
        <w:rPr>
          <w:rFonts w:hint="default" w:ascii="Calibri" w:hAnsi="Calibri"/>
          <w:bCs/>
          <w:sz w:val="24"/>
          <w:szCs w:val="24"/>
          <w:lang w:val="bs-Latn-BA"/>
        </w:rPr>
      </w:pPr>
      <w:r>
        <w:rPr>
          <w:rFonts w:ascii="Calibri" w:hAnsi="Calibri"/>
          <w:bCs/>
          <w:sz w:val="24"/>
          <w:szCs w:val="24"/>
        </w:rPr>
        <w:t xml:space="preserve">Broj: </w:t>
      </w:r>
      <w:r>
        <w:rPr>
          <w:rFonts w:ascii="Calibri" w:hAnsi="Calibri"/>
          <w:color w:val="000000"/>
          <w:sz w:val="24"/>
          <w:szCs w:val="24"/>
        </w:rPr>
        <w:t>02/</w:t>
      </w:r>
      <w:r>
        <w:rPr>
          <w:rFonts w:ascii="Calibri" w:hAnsi="Calibri"/>
          <w:sz w:val="24"/>
          <w:szCs w:val="24"/>
        </w:rPr>
        <w:t>1-</w:t>
      </w:r>
      <w:r>
        <w:rPr>
          <w:rFonts w:hint="default" w:ascii="Calibri" w:hAnsi="Calibri"/>
          <w:sz w:val="24"/>
          <w:szCs w:val="24"/>
          <w:lang w:val="bs-Latn-BA"/>
        </w:rPr>
        <w:t>5238-1-2/24</w:t>
      </w:r>
    </w:p>
    <w:p w14:paraId="78F23B02">
      <w:pPr>
        <w:pStyle w:val="4"/>
        <w:rPr>
          <w:rFonts w:ascii="Calibri" w:hAnsi="Calibri"/>
          <w:bCs/>
          <w:sz w:val="24"/>
          <w:szCs w:val="24"/>
          <w:shd w:val="clear" w:color="auto" w:fill="FFFFFF"/>
        </w:rPr>
      </w:pPr>
      <w:r>
        <w:rPr>
          <w:rFonts w:ascii="Calibri" w:hAnsi="Calibri"/>
          <w:bCs/>
          <w:sz w:val="24"/>
          <w:szCs w:val="24"/>
        </w:rPr>
        <w:t>Tuzla</w:t>
      </w:r>
      <w:r>
        <w:rPr>
          <w:rFonts w:ascii="Calibri" w:hAnsi="Calibr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="Calibri" w:hAnsi="Calibri"/>
          <w:bCs/>
          <w:sz w:val="24"/>
          <w:szCs w:val="24"/>
          <w:shd w:val="clear" w:color="auto" w:fill="FFFFFF"/>
          <w:lang w:val="bs-Latn-BA"/>
        </w:rPr>
        <w:t>24</w:t>
      </w:r>
      <w:r>
        <w:rPr>
          <w:rFonts w:ascii="Calibri" w:hAnsi="Calibri"/>
          <w:bCs/>
          <w:sz w:val="24"/>
          <w:szCs w:val="24"/>
          <w:shd w:val="clear" w:color="auto" w:fill="FFFFFF"/>
        </w:rPr>
        <w:t>.0</w:t>
      </w:r>
      <w:r>
        <w:rPr>
          <w:rFonts w:hint="default" w:ascii="Calibri" w:hAnsi="Calibri"/>
          <w:bCs/>
          <w:sz w:val="24"/>
          <w:szCs w:val="24"/>
          <w:shd w:val="clear" w:color="auto" w:fill="FFFFFF"/>
          <w:lang w:val="bs-Latn-BA"/>
        </w:rPr>
        <w:t>9</w:t>
      </w:r>
      <w:r>
        <w:rPr>
          <w:rFonts w:ascii="Calibri" w:hAnsi="Calibri"/>
          <w:bCs/>
          <w:sz w:val="24"/>
          <w:szCs w:val="24"/>
          <w:shd w:val="clear" w:color="auto" w:fill="FFFFFF"/>
        </w:rPr>
        <w:t>.202</w:t>
      </w:r>
      <w:r>
        <w:rPr>
          <w:rFonts w:hint="default" w:ascii="Calibri" w:hAnsi="Calibri"/>
          <w:bCs/>
          <w:sz w:val="24"/>
          <w:szCs w:val="24"/>
          <w:shd w:val="clear" w:color="auto" w:fill="FFFFFF"/>
          <w:lang w:val="bs-Latn-BA"/>
        </w:rPr>
        <w:t>4</w:t>
      </w:r>
      <w:r>
        <w:rPr>
          <w:rFonts w:ascii="Calibri" w:hAnsi="Calibri"/>
          <w:bCs/>
          <w:sz w:val="24"/>
          <w:szCs w:val="24"/>
          <w:shd w:val="clear" w:color="auto" w:fill="FFFFFF"/>
        </w:rPr>
        <w:t xml:space="preserve">.godine </w:t>
      </w:r>
    </w:p>
    <w:p w14:paraId="3F3698C3">
      <w:pPr>
        <w:pStyle w:val="4"/>
        <w:rPr>
          <w:rFonts w:ascii="Calibri" w:hAnsi="Calibri"/>
          <w:sz w:val="24"/>
          <w:szCs w:val="24"/>
        </w:rPr>
      </w:pPr>
    </w:p>
    <w:p w14:paraId="74330699">
      <w:pPr>
        <w:spacing w:after="0" w:line="240" w:lineRule="auto"/>
        <w:jc w:val="both"/>
        <w:rPr>
          <w:sz w:val="24"/>
          <w:szCs w:val="24"/>
        </w:rPr>
      </w:pPr>
    </w:p>
    <w:p w14:paraId="12ABE307">
      <w:p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color w:val="000000"/>
          <w:sz w:val="24"/>
          <w:szCs w:val="24"/>
        </w:rPr>
        <w:t>21/21, 22/21, 5/22 i 11/22</w:t>
      </w:r>
      <w:r>
        <w:rPr>
          <w:sz w:val="24"/>
          <w:szCs w:val="24"/>
        </w:rPr>
        <w:t xml:space="preserve">) </w:t>
      </w:r>
      <w:r>
        <w:rPr>
          <w:rFonts w:asciiTheme="minorHAnsi" w:hAnsiTheme="minorHAnsi"/>
          <w:sz w:val="24"/>
          <w:szCs w:val="24"/>
        </w:rPr>
        <w:t>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sz w:val="24"/>
          <w:szCs w:val="24"/>
          <w:lang w:val="hr-BA"/>
        </w:rPr>
        <w:t xml:space="preserve">, </w:t>
      </w:r>
      <w:r>
        <w:rPr>
          <w:sz w:val="24"/>
          <w:szCs w:val="24"/>
        </w:rPr>
        <w:t xml:space="preserve">Umjetničko – nastavno vijeće Akademije dramskih umjetnosti Univerziteta u Tuzli na </w:t>
      </w:r>
      <w:r>
        <w:rPr>
          <w:rFonts w:hint="default"/>
          <w:sz w:val="24"/>
          <w:szCs w:val="24"/>
          <w:lang w:val="bs-Latn-BA"/>
        </w:rPr>
        <w:t>V</w:t>
      </w:r>
      <w:r>
        <w:rPr>
          <w:sz w:val="24"/>
          <w:szCs w:val="24"/>
        </w:rPr>
        <w:t xml:space="preserve"> (</w:t>
      </w:r>
      <w:r>
        <w:rPr>
          <w:rFonts w:hint="default"/>
          <w:sz w:val="24"/>
          <w:szCs w:val="24"/>
          <w:lang w:val="bs-Latn-BA"/>
        </w:rPr>
        <w:t>pet</w:t>
      </w:r>
      <w:r>
        <w:rPr>
          <w:sz w:val="24"/>
          <w:szCs w:val="24"/>
        </w:rPr>
        <w:t>oj) red</w:t>
      </w:r>
      <w:r>
        <w:rPr>
          <w:rFonts w:hint="default"/>
          <w:sz w:val="24"/>
          <w:szCs w:val="24"/>
          <w:lang w:val="bs-Latn-BA"/>
        </w:rPr>
        <w:t>ov</w:t>
      </w:r>
      <w:r>
        <w:rPr>
          <w:sz w:val="24"/>
          <w:szCs w:val="24"/>
        </w:rPr>
        <w:t xml:space="preserve">noj sjednici održanoj dana </w:t>
      </w:r>
      <w:r>
        <w:rPr>
          <w:rFonts w:hint="default"/>
          <w:sz w:val="24"/>
          <w:szCs w:val="24"/>
          <w:lang w:val="bs-Latn-BA"/>
        </w:rPr>
        <w:t>24</w:t>
      </w:r>
      <w:r>
        <w:rPr>
          <w:sz w:val="24"/>
          <w:szCs w:val="24"/>
        </w:rPr>
        <w:t>.</w:t>
      </w:r>
      <w:r>
        <w:rPr>
          <w:rFonts w:hint="default"/>
          <w:sz w:val="24"/>
          <w:szCs w:val="24"/>
          <w:lang w:val="bs-Latn-BA"/>
        </w:rPr>
        <w:t>09</w:t>
      </w:r>
      <w:r>
        <w:rPr>
          <w:sz w:val="24"/>
          <w:szCs w:val="24"/>
        </w:rPr>
        <w:t>.202</w:t>
      </w:r>
      <w:r>
        <w:rPr>
          <w:rFonts w:hint="default"/>
          <w:sz w:val="24"/>
          <w:szCs w:val="24"/>
          <w:lang w:val="bs-Latn-BA"/>
        </w:rPr>
        <w:t>4</w:t>
      </w:r>
      <w:r>
        <w:rPr>
          <w:sz w:val="24"/>
          <w:szCs w:val="24"/>
        </w:rPr>
        <w:t>. godine je utvrdilo</w:t>
      </w:r>
    </w:p>
    <w:p w14:paraId="1E288CFC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938DF0A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 R I J E D L O G </w:t>
      </w:r>
      <w:r>
        <w:rPr>
          <w:b/>
          <w:bCs/>
          <w:sz w:val="24"/>
          <w:szCs w:val="24"/>
        </w:rPr>
        <w:br w:type="textWrapping"/>
      </w:r>
      <w:r>
        <w:rPr>
          <w:rFonts w:hint="default"/>
          <w:b/>
          <w:bCs/>
          <w:sz w:val="24"/>
          <w:szCs w:val="24"/>
          <w:lang w:val="bs-Latn-BA"/>
        </w:rPr>
        <w:t>izmjene</w:t>
      </w:r>
      <w:r>
        <w:rPr>
          <w:b/>
          <w:bCs/>
          <w:sz w:val="24"/>
          <w:szCs w:val="24"/>
        </w:rPr>
        <w:t xml:space="preserve"> Plana realizacije nastave na prvom ciklusu studija </w:t>
      </w:r>
    </w:p>
    <w:p w14:paraId="28F0559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 Akademiji dramskih umjetnosti Univerziteta u Tuzli </w:t>
      </w:r>
    </w:p>
    <w:p w14:paraId="22B10C15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 akademskoj 202</w:t>
      </w:r>
      <w:r>
        <w:rPr>
          <w:rFonts w:hint="default"/>
          <w:b/>
          <w:bCs/>
          <w:sz w:val="24"/>
          <w:szCs w:val="24"/>
          <w:lang w:val="bs-Latn-BA"/>
        </w:rPr>
        <w:t>4</w:t>
      </w:r>
      <w:r>
        <w:rPr>
          <w:b/>
          <w:bCs/>
          <w:sz w:val="24"/>
          <w:szCs w:val="24"/>
        </w:rPr>
        <w:t>/2</w:t>
      </w:r>
      <w:r>
        <w:rPr>
          <w:rFonts w:hint="default"/>
          <w:b/>
          <w:bCs/>
          <w:sz w:val="24"/>
          <w:szCs w:val="24"/>
          <w:lang w:val="bs-Latn-BA"/>
        </w:rPr>
        <w:t>5</w:t>
      </w:r>
      <w:r>
        <w:rPr>
          <w:b/>
          <w:bCs/>
          <w:sz w:val="24"/>
          <w:szCs w:val="24"/>
        </w:rPr>
        <w:t>. godini</w:t>
      </w:r>
    </w:p>
    <w:p w14:paraId="12749E82">
      <w:pPr>
        <w:spacing w:after="0" w:line="240" w:lineRule="auto"/>
        <w:jc w:val="center"/>
        <w:rPr>
          <w:sz w:val="24"/>
          <w:szCs w:val="24"/>
        </w:rPr>
      </w:pPr>
    </w:p>
    <w:p w14:paraId="0065ABB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D965FF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</w:t>
      </w:r>
    </w:p>
    <w:p w14:paraId="6EC62D1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Predlaže se usvajanje</w:t>
      </w:r>
      <w:r>
        <w:rPr>
          <w:rFonts w:hint="default"/>
          <w:sz w:val="24"/>
          <w:szCs w:val="24"/>
          <w:lang w:val="bs-Latn-BA"/>
        </w:rPr>
        <w:t xml:space="preserve"> izmjene</w:t>
      </w:r>
      <w:r>
        <w:rPr>
          <w:sz w:val="24"/>
          <w:szCs w:val="24"/>
        </w:rPr>
        <w:t xml:space="preserve"> Plana realizacije nastave na prvom ciklusu studija Akademije dramskih umjetnosti Univerziteta u Tuzli u akademskoj 202</w:t>
      </w:r>
      <w:r>
        <w:rPr>
          <w:rFonts w:hint="default"/>
          <w:sz w:val="24"/>
          <w:szCs w:val="24"/>
          <w:lang w:val="bs-Latn-BA"/>
        </w:rPr>
        <w:t>4</w:t>
      </w:r>
      <w:r>
        <w:rPr>
          <w:sz w:val="24"/>
          <w:szCs w:val="24"/>
        </w:rPr>
        <w:t>/2</w:t>
      </w:r>
      <w:r>
        <w:rPr>
          <w:rFonts w:hint="default"/>
          <w:sz w:val="24"/>
          <w:szCs w:val="24"/>
          <w:lang w:val="bs-Latn-BA"/>
        </w:rPr>
        <w:t>5</w:t>
      </w:r>
      <w:r>
        <w:rPr>
          <w:sz w:val="24"/>
          <w:szCs w:val="24"/>
        </w:rPr>
        <w:t>. godini.</w:t>
      </w:r>
    </w:p>
    <w:p w14:paraId="5E37DD8E">
      <w:pPr>
        <w:spacing w:after="0" w:line="240" w:lineRule="auto"/>
        <w:jc w:val="both"/>
        <w:rPr>
          <w:sz w:val="24"/>
          <w:szCs w:val="24"/>
        </w:rPr>
      </w:pPr>
    </w:p>
    <w:p w14:paraId="48E4267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</w:t>
      </w:r>
    </w:p>
    <w:p w14:paraId="0921C90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Sastavni dio ovog Prijedloga je izmjenjeni Plan realizacije nastave.</w:t>
      </w:r>
    </w:p>
    <w:p w14:paraId="5D0F0331">
      <w:pPr>
        <w:spacing w:after="0" w:line="240" w:lineRule="auto"/>
        <w:jc w:val="both"/>
        <w:rPr>
          <w:sz w:val="24"/>
          <w:szCs w:val="24"/>
        </w:rPr>
      </w:pPr>
    </w:p>
    <w:p w14:paraId="0616B0B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</w:t>
      </w:r>
    </w:p>
    <w:p w14:paraId="46AA57D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Ovaj Prijedlog dostavlja se Senatu Univerziteta u Tuzli na dalji postupak.</w:t>
      </w:r>
    </w:p>
    <w:p w14:paraId="3A6FB1A4">
      <w:pPr>
        <w:spacing w:after="0" w:line="240" w:lineRule="auto"/>
        <w:jc w:val="both"/>
        <w:rPr>
          <w:sz w:val="24"/>
          <w:szCs w:val="24"/>
        </w:rPr>
      </w:pPr>
    </w:p>
    <w:p w14:paraId="6F12A716">
      <w:pPr>
        <w:spacing w:after="0" w:line="240" w:lineRule="auto"/>
        <w:jc w:val="both"/>
        <w:rPr>
          <w:sz w:val="24"/>
          <w:szCs w:val="24"/>
        </w:rPr>
      </w:pPr>
    </w:p>
    <w:p w14:paraId="51F664DC">
      <w:pPr>
        <w:spacing w:after="0" w:line="240" w:lineRule="auto"/>
        <w:jc w:val="both"/>
        <w:rPr>
          <w:sz w:val="24"/>
          <w:szCs w:val="24"/>
        </w:rPr>
      </w:pPr>
    </w:p>
    <w:p w14:paraId="48AB1719">
      <w:pPr>
        <w:pStyle w:val="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>PREDSJEDAVAJUĆA</w:t>
      </w:r>
      <w:r>
        <w:rPr>
          <w:rFonts w:ascii="Calibri" w:hAnsi="Calibri"/>
          <w:sz w:val="24"/>
          <w:szCs w:val="24"/>
        </w:rPr>
        <w:tab/>
      </w:r>
    </w:p>
    <w:p w14:paraId="7B17C0E2">
      <w:pPr>
        <w:pStyle w:val="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         UMJETNIČKO - NASTAVNOG VIJEĆA</w:t>
      </w:r>
    </w:p>
    <w:p w14:paraId="41BFEE95">
      <w:pPr>
        <w:pStyle w:val="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p w14:paraId="6940B16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Dr.sci. Jasmina Čelebić Tanović, red.prof.</w:t>
      </w:r>
    </w:p>
    <w:p w14:paraId="20D8BF8F">
      <w:pPr>
        <w:spacing w:after="0" w:line="240" w:lineRule="auto"/>
        <w:rPr>
          <w:sz w:val="24"/>
          <w:szCs w:val="24"/>
        </w:rPr>
      </w:pPr>
    </w:p>
    <w:p w14:paraId="7CB078F7">
      <w:pPr>
        <w:spacing w:after="0" w:line="240" w:lineRule="auto"/>
        <w:rPr>
          <w:sz w:val="24"/>
          <w:szCs w:val="24"/>
        </w:rPr>
      </w:pPr>
    </w:p>
    <w:p w14:paraId="1756DCE9">
      <w:pPr>
        <w:spacing w:after="0" w:line="240" w:lineRule="auto"/>
        <w:rPr>
          <w:sz w:val="24"/>
          <w:szCs w:val="24"/>
        </w:rPr>
      </w:pPr>
    </w:p>
    <w:p w14:paraId="29CF51F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DOSTAVITI:</w:t>
      </w:r>
    </w:p>
    <w:p w14:paraId="1C1F41E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x Senat Univerziteta</w:t>
      </w:r>
    </w:p>
    <w:p w14:paraId="66330D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x Ured za nastavu i studentska pitanja</w:t>
      </w:r>
    </w:p>
    <w:p w14:paraId="1B6FC4C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 x Evidencija UNV-a </w:t>
      </w:r>
      <w:r>
        <w:rPr>
          <w:sz w:val="24"/>
          <w:szCs w:val="24"/>
        </w:rPr>
        <w:tab/>
      </w:r>
    </w:p>
    <w:p w14:paraId="54752D6F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B7304"/>
    <w:rsid w:val="43FB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rPr>
      <w:rFonts w:ascii="Times New Roman" w:hAnsi="Times New Roman" w:eastAsia="Times New Roma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2024-09-24T09:46:00Z</dcterms:created>
  <dc:creator>Korisnik</dc:creator>
  <cp:lastModifiedBy>Korisnik</cp:lastModifiedBy>
  <dcterms:modified xsi:type="dcterms:W3CDTF">2024-09-24T09:51:21Z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1800BEC3987C42729811423DC4807FE6_11</vt:lpwstr>
  </property>
</Properties>
</file>