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2C1C1B">
      <w:pPr>
        <w:spacing w:after="0" w:line="240" w:lineRule="auto"/>
        <w:jc w:val="center"/>
        <w:rPr>
          <w:rFonts w:hint="default"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 xml:space="preserve">PRIJEDLOG IZMJENA I DOPUNA PLANA POKRIVENOSTI NASTAVE </w:t>
      </w:r>
      <w:r>
        <w:rPr>
          <w:rFonts w:hint="default" w:ascii="Times New Roman" w:hAnsi="Times New Roman"/>
          <w:sz w:val="24"/>
          <w:szCs w:val="24"/>
          <w:lang w:val="bs-Latn-BA"/>
        </w:rPr>
        <w:t>ZA SARADNIKE</w:t>
      </w:r>
    </w:p>
    <w:p w14:paraId="1427A7D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 xml:space="preserve">FAKULTET/AKADEMIJA </w:t>
      </w:r>
      <w:r>
        <w:rPr>
          <w:rFonts w:ascii="Times New Roman" w:hAnsi="Times New Roman"/>
          <w:b/>
          <w:bCs/>
          <w:sz w:val="24"/>
          <w:szCs w:val="24"/>
          <w:u w:val="single"/>
          <w:lang w:val="bs-Latn-BA"/>
        </w:rPr>
        <w:t>FARMACEUTSKI FAKULTET</w:t>
      </w:r>
    </w:p>
    <w:tbl>
      <w:tblPr>
        <w:tblStyle w:val="3"/>
        <w:tblW w:w="147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  <w:gridCol w:w="790"/>
        <w:gridCol w:w="628"/>
        <w:gridCol w:w="425"/>
        <w:gridCol w:w="2552"/>
        <w:gridCol w:w="567"/>
        <w:gridCol w:w="567"/>
        <w:gridCol w:w="2551"/>
        <w:gridCol w:w="567"/>
        <w:gridCol w:w="579"/>
        <w:gridCol w:w="2504"/>
      </w:tblGrid>
      <w:tr w14:paraId="572F95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2977" w:type="dxa"/>
            <w:vMerge w:val="restart"/>
            <w:vAlign w:val="center"/>
          </w:tcPr>
          <w:p w14:paraId="5C7360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 predmet</w:t>
            </w:r>
          </w:p>
        </w:tc>
        <w:tc>
          <w:tcPr>
            <w:tcW w:w="790" w:type="dxa"/>
            <w:vMerge w:val="restart"/>
            <w:textDirection w:val="btLr"/>
            <w:vAlign w:val="center"/>
          </w:tcPr>
          <w:p w14:paraId="5FF0351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God/sem</w:t>
            </w:r>
          </w:p>
        </w:tc>
        <w:tc>
          <w:tcPr>
            <w:tcW w:w="1053" w:type="dxa"/>
            <w:gridSpan w:val="2"/>
          </w:tcPr>
          <w:p w14:paraId="4350DA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Fond sati</w:t>
            </w:r>
          </w:p>
        </w:tc>
        <w:tc>
          <w:tcPr>
            <w:tcW w:w="3686" w:type="dxa"/>
            <w:gridSpan w:val="3"/>
            <w:vAlign w:val="center"/>
          </w:tcPr>
          <w:p w14:paraId="31C86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Prethodna pokrivenost nastave</w:t>
            </w:r>
          </w:p>
        </w:tc>
        <w:tc>
          <w:tcPr>
            <w:tcW w:w="3697" w:type="dxa"/>
            <w:gridSpan w:val="3"/>
            <w:vAlign w:val="center"/>
          </w:tcPr>
          <w:p w14:paraId="34DE63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Izmjene pokrivenosti nastave</w:t>
            </w:r>
          </w:p>
        </w:tc>
        <w:tc>
          <w:tcPr>
            <w:tcW w:w="2504" w:type="dxa"/>
            <w:vMerge w:val="restart"/>
          </w:tcPr>
          <w:p w14:paraId="6B0B71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7BA99B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0848BB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Napomena </w:t>
            </w:r>
          </w:p>
          <w:p w14:paraId="4F7D54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(razlog izmjene)</w:t>
            </w:r>
          </w:p>
        </w:tc>
      </w:tr>
      <w:tr w14:paraId="24FC0A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2977" w:type="dxa"/>
            <w:vMerge w:val="continue"/>
            <w:vAlign w:val="center"/>
          </w:tcPr>
          <w:p w14:paraId="43DF44D9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790" w:type="dxa"/>
            <w:vMerge w:val="continue"/>
            <w:vAlign w:val="center"/>
          </w:tcPr>
          <w:p w14:paraId="73114A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628" w:type="dxa"/>
            <w:textDirection w:val="btLr"/>
          </w:tcPr>
          <w:p w14:paraId="7324259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P/A/V</w:t>
            </w:r>
          </w:p>
        </w:tc>
        <w:tc>
          <w:tcPr>
            <w:tcW w:w="425" w:type="dxa"/>
            <w:textDirection w:val="btLr"/>
            <w:vAlign w:val="center"/>
          </w:tcPr>
          <w:p w14:paraId="7DFB717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Broj sati</w:t>
            </w:r>
          </w:p>
        </w:tc>
        <w:tc>
          <w:tcPr>
            <w:tcW w:w="2552" w:type="dxa"/>
            <w:vAlign w:val="center"/>
          </w:tcPr>
          <w:p w14:paraId="04745F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Nastavnik/saradnik</w:t>
            </w:r>
          </w:p>
        </w:tc>
        <w:tc>
          <w:tcPr>
            <w:tcW w:w="567" w:type="dxa"/>
            <w:textDirection w:val="btLr"/>
            <w:vAlign w:val="center"/>
          </w:tcPr>
          <w:p w14:paraId="77146746">
            <w:pPr>
              <w:spacing w:after="0" w:line="200" w:lineRule="exact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Vođeno </w:t>
            </w: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br w:type="textWrapping"/>
            </w: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grupa</w:t>
            </w:r>
          </w:p>
        </w:tc>
        <w:tc>
          <w:tcPr>
            <w:tcW w:w="567" w:type="dxa"/>
            <w:textDirection w:val="btLr"/>
            <w:vAlign w:val="center"/>
          </w:tcPr>
          <w:p w14:paraId="0EC9AB2B">
            <w:pPr>
              <w:spacing w:after="0" w:line="200" w:lineRule="exact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Održanih </w:t>
            </w: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br w:type="textWrapping"/>
            </w: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sati</w:t>
            </w:r>
          </w:p>
        </w:tc>
        <w:tc>
          <w:tcPr>
            <w:tcW w:w="2551" w:type="dxa"/>
            <w:vAlign w:val="center"/>
          </w:tcPr>
          <w:p w14:paraId="5C17ED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Nastavnik/saradnik</w:t>
            </w:r>
          </w:p>
        </w:tc>
        <w:tc>
          <w:tcPr>
            <w:tcW w:w="567" w:type="dxa"/>
            <w:textDirection w:val="btLr"/>
            <w:vAlign w:val="center"/>
          </w:tcPr>
          <w:p w14:paraId="5E0677D9">
            <w:pPr>
              <w:spacing w:after="0" w:line="200" w:lineRule="exact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Vođeno grupa</w:t>
            </w:r>
          </w:p>
        </w:tc>
        <w:tc>
          <w:tcPr>
            <w:tcW w:w="579" w:type="dxa"/>
            <w:textDirection w:val="btLr"/>
            <w:vAlign w:val="center"/>
          </w:tcPr>
          <w:p w14:paraId="161E0709">
            <w:pPr>
              <w:spacing w:after="0" w:line="200" w:lineRule="exact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Planirani sati</w:t>
            </w:r>
          </w:p>
        </w:tc>
        <w:tc>
          <w:tcPr>
            <w:tcW w:w="2504" w:type="dxa"/>
            <w:vMerge w:val="continue"/>
          </w:tcPr>
          <w:p w14:paraId="1E9896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</w:tr>
      <w:tr w14:paraId="134041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2977" w:type="dxa"/>
            <w:vAlign w:val="center"/>
          </w:tcPr>
          <w:p w14:paraId="5F1E5FD3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Biohemija II (PMF)</w:t>
            </w:r>
          </w:p>
        </w:tc>
        <w:tc>
          <w:tcPr>
            <w:tcW w:w="790" w:type="dxa"/>
            <w:vAlign w:val="center"/>
          </w:tcPr>
          <w:p w14:paraId="48D1509F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III/VI</w:t>
            </w:r>
          </w:p>
        </w:tc>
        <w:tc>
          <w:tcPr>
            <w:tcW w:w="628" w:type="dxa"/>
            <w:textDirection w:val="lrTbV"/>
            <w:vAlign w:val="center"/>
          </w:tcPr>
          <w:p w14:paraId="6304EFD7">
            <w:pPr>
              <w:spacing w:after="0" w:line="240" w:lineRule="auto"/>
              <w:jc w:val="both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2/0/2</w:t>
            </w:r>
          </w:p>
        </w:tc>
        <w:tc>
          <w:tcPr>
            <w:tcW w:w="425" w:type="dxa"/>
            <w:textDirection w:val="lrTbV"/>
            <w:vAlign w:val="center"/>
          </w:tcPr>
          <w:p w14:paraId="4F450EA1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2</w:t>
            </w:r>
          </w:p>
        </w:tc>
        <w:tc>
          <w:tcPr>
            <w:tcW w:w="2552" w:type="dxa"/>
            <w:vAlign w:val="center"/>
          </w:tcPr>
          <w:p w14:paraId="36D2B64D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Esmeralda Dautović, doc.</w:t>
            </w:r>
          </w:p>
        </w:tc>
        <w:tc>
          <w:tcPr>
            <w:tcW w:w="567" w:type="dxa"/>
            <w:textDirection w:val="lrTbV"/>
            <w:vAlign w:val="center"/>
          </w:tcPr>
          <w:p w14:paraId="4E85CE70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</w:p>
        </w:tc>
        <w:tc>
          <w:tcPr>
            <w:tcW w:w="567" w:type="dxa"/>
            <w:textDirection w:val="lrTbV"/>
            <w:vAlign w:val="center"/>
          </w:tcPr>
          <w:p w14:paraId="43EA3145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1E765F1">
            <w:pPr>
              <w:spacing w:after="0" w:line="240" w:lineRule="auto"/>
              <w:jc w:val="left"/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  <w:t>Adaleta Softić, red.prof.</w:t>
            </w:r>
          </w:p>
          <w:p w14:paraId="530E1049"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  <w:t>Esmeralda Dautović, doc.</w:t>
            </w:r>
          </w:p>
        </w:tc>
        <w:tc>
          <w:tcPr>
            <w:tcW w:w="567" w:type="dxa"/>
            <w:textDirection w:val="lrTbV"/>
            <w:vAlign w:val="center"/>
          </w:tcPr>
          <w:p w14:paraId="1710AAB5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</w:p>
        </w:tc>
        <w:tc>
          <w:tcPr>
            <w:tcW w:w="579" w:type="dxa"/>
            <w:textDirection w:val="lrTbV"/>
            <w:vAlign w:val="center"/>
          </w:tcPr>
          <w:p w14:paraId="282634E1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1,5</w:t>
            </w:r>
          </w:p>
          <w:p w14:paraId="1554A3B7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0,5</w:t>
            </w:r>
          </w:p>
        </w:tc>
        <w:tc>
          <w:tcPr>
            <w:tcW w:w="2504" w:type="dxa"/>
            <w:vAlign w:val="center"/>
          </w:tcPr>
          <w:p w14:paraId="404B676A"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  <w:t xml:space="preserve">Izmjena zbog imenovanja na funkcije dekana i prodekana. </w:t>
            </w:r>
          </w:p>
        </w:tc>
      </w:tr>
      <w:tr w14:paraId="25B1F6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2977" w:type="dxa"/>
            <w:vAlign w:val="center"/>
          </w:tcPr>
          <w:p w14:paraId="0D92D23E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Osnove biohemije (IZO)</w:t>
            </w:r>
          </w:p>
        </w:tc>
        <w:tc>
          <w:tcPr>
            <w:tcW w:w="790" w:type="dxa"/>
            <w:vAlign w:val="center"/>
          </w:tcPr>
          <w:p w14:paraId="52F02561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II/IV</w:t>
            </w:r>
          </w:p>
        </w:tc>
        <w:tc>
          <w:tcPr>
            <w:tcW w:w="628" w:type="dxa"/>
            <w:textDirection w:val="lrTbV"/>
            <w:vAlign w:val="center"/>
          </w:tcPr>
          <w:p w14:paraId="67F44A3A">
            <w:pPr>
              <w:spacing w:after="0" w:line="240" w:lineRule="auto"/>
              <w:jc w:val="both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2/0/1</w:t>
            </w:r>
          </w:p>
        </w:tc>
        <w:tc>
          <w:tcPr>
            <w:tcW w:w="425" w:type="dxa"/>
            <w:textDirection w:val="lrTbV"/>
            <w:vAlign w:val="center"/>
          </w:tcPr>
          <w:p w14:paraId="197CF9C2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2</w:t>
            </w:r>
          </w:p>
        </w:tc>
        <w:tc>
          <w:tcPr>
            <w:tcW w:w="2552" w:type="dxa"/>
            <w:vAlign w:val="center"/>
          </w:tcPr>
          <w:p w14:paraId="429BB78E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Esmeralda Dautović, doc.</w:t>
            </w:r>
          </w:p>
        </w:tc>
        <w:tc>
          <w:tcPr>
            <w:tcW w:w="567" w:type="dxa"/>
            <w:textDirection w:val="lrTbV"/>
            <w:vAlign w:val="center"/>
          </w:tcPr>
          <w:p w14:paraId="6306045F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</w:p>
        </w:tc>
        <w:tc>
          <w:tcPr>
            <w:tcW w:w="567" w:type="dxa"/>
            <w:textDirection w:val="lrTbV"/>
            <w:vAlign w:val="center"/>
          </w:tcPr>
          <w:p w14:paraId="23F3B042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3A9BBE1"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  <w:t>Adaleta Softić, red.prof.</w:t>
            </w:r>
          </w:p>
        </w:tc>
        <w:tc>
          <w:tcPr>
            <w:tcW w:w="567" w:type="dxa"/>
            <w:textDirection w:val="lrTbV"/>
            <w:vAlign w:val="center"/>
          </w:tcPr>
          <w:p w14:paraId="5F2897DE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</w:p>
        </w:tc>
        <w:tc>
          <w:tcPr>
            <w:tcW w:w="579" w:type="dxa"/>
            <w:textDirection w:val="lrTbV"/>
            <w:vAlign w:val="center"/>
          </w:tcPr>
          <w:p w14:paraId="1D33DE11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2</w:t>
            </w:r>
          </w:p>
        </w:tc>
        <w:tc>
          <w:tcPr>
            <w:tcW w:w="2504" w:type="dxa"/>
            <w:vAlign w:val="center"/>
          </w:tcPr>
          <w:p w14:paraId="42676AA5"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  <w:t>Izmjena zbog imenovanja na funkcije dekana i prodekana.</w:t>
            </w:r>
          </w:p>
        </w:tc>
      </w:tr>
      <w:tr w14:paraId="506FB6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2977" w:type="dxa"/>
            <w:vAlign w:val="center"/>
          </w:tcPr>
          <w:p w14:paraId="7F5AA4FC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Opšta biohemija i biohemija hrane (PT)</w:t>
            </w:r>
          </w:p>
        </w:tc>
        <w:tc>
          <w:tcPr>
            <w:tcW w:w="790" w:type="dxa"/>
            <w:vAlign w:val="center"/>
          </w:tcPr>
          <w:p w14:paraId="7B52B37E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II/IV</w:t>
            </w:r>
          </w:p>
        </w:tc>
        <w:tc>
          <w:tcPr>
            <w:tcW w:w="628" w:type="dxa"/>
            <w:textDirection w:val="lrTbV"/>
            <w:vAlign w:val="center"/>
          </w:tcPr>
          <w:p w14:paraId="408B8A22">
            <w:pPr>
              <w:spacing w:after="0" w:line="240" w:lineRule="auto"/>
              <w:jc w:val="both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3/0/2</w:t>
            </w:r>
          </w:p>
        </w:tc>
        <w:tc>
          <w:tcPr>
            <w:tcW w:w="425" w:type="dxa"/>
            <w:textDirection w:val="lrTbV"/>
            <w:vAlign w:val="center"/>
          </w:tcPr>
          <w:p w14:paraId="724EAD9F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3</w:t>
            </w:r>
          </w:p>
        </w:tc>
        <w:tc>
          <w:tcPr>
            <w:tcW w:w="2552" w:type="dxa"/>
            <w:vAlign w:val="center"/>
          </w:tcPr>
          <w:p w14:paraId="59C060A4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Aida Smajlović, red.prof.</w:t>
            </w:r>
          </w:p>
          <w:p w14:paraId="0BED16A0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Amra Džambić, doc.</w:t>
            </w:r>
          </w:p>
          <w:p w14:paraId="4FD41A7D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Lejla Begić, emeritus</w:t>
            </w:r>
          </w:p>
        </w:tc>
        <w:tc>
          <w:tcPr>
            <w:tcW w:w="567" w:type="dxa"/>
            <w:textDirection w:val="lrTbV"/>
            <w:vAlign w:val="center"/>
          </w:tcPr>
          <w:p w14:paraId="2E0547CC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</w:p>
        </w:tc>
        <w:tc>
          <w:tcPr>
            <w:tcW w:w="567" w:type="dxa"/>
            <w:textDirection w:val="lrTbV"/>
            <w:vAlign w:val="center"/>
          </w:tcPr>
          <w:p w14:paraId="72D89926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1,6</w:t>
            </w:r>
          </w:p>
          <w:p w14:paraId="436E85A7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0,4</w:t>
            </w:r>
          </w:p>
          <w:p w14:paraId="1F55001B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9998806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Aida Smajlović, red.prof.</w:t>
            </w:r>
          </w:p>
          <w:p w14:paraId="3F2613E6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Adaleta Softić, red.prof.</w:t>
            </w:r>
          </w:p>
          <w:p w14:paraId="1CF123F1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Amra Džambić, doc.</w:t>
            </w:r>
          </w:p>
          <w:p w14:paraId="664E0B3D"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</w:pPr>
          </w:p>
        </w:tc>
        <w:tc>
          <w:tcPr>
            <w:tcW w:w="567" w:type="dxa"/>
            <w:textDirection w:val="lrTbV"/>
            <w:vAlign w:val="center"/>
          </w:tcPr>
          <w:p w14:paraId="670CFA6D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</w:p>
        </w:tc>
        <w:tc>
          <w:tcPr>
            <w:tcW w:w="579" w:type="dxa"/>
            <w:textDirection w:val="lrTbV"/>
            <w:vAlign w:val="center"/>
          </w:tcPr>
          <w:p w14:paraId="063BD1E5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1,6</w:t>
            </w:r>
          </w:p>
          <w:p w14:paraId="5DAF75AB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1</w:t>
            </w:r>
          </w:p>
          <w:p w14:paraId="20881F6C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0,4</w:t>
            </w:r>
          </w:p>
          <w:p w14:paraId="5A42C622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</w:p>
        </w:tc>
        <w:tc>
          <w:tcPr>
            <w:tcW w:w="2504" w:type="dxa"/>
            <w:vAlign w:val="center"/>
          </w:tcPr>
          <w:p w14:paraId="7CFB82D6"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  <w:t>Izmjena zbog imenovanja na funkcije dekana i prodekana.</w:t>
            </w:r>
          </w:p>
        </w:tc>
      </w:tr>
      <w:tr w14:paraId="40E7A4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2977" w:type="dxa"/>
            <w:vAlign w:val="center"/>
          </w:tcPr>
          <w:p w14:paraId="6369DF7E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Klinička biohemija I</w:t>
            </w:r>
            <w:bookmarkStart w:id="0" w:name="_GoBack"/>
            <w:bookmarkEnd w:id="0"/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 xml:space="preserve"> (MF OZS)</w:t>
            </w:r>
          </w:p>
        </w:tc>
        <w:tc>
          <w:tcPr>
            <w:tcW w:w="790" w:type="dxa"/>
            <w:vAlign w:val="center"/>
          </w:tcPr>
          <w:p w14:paraId="210B1DF1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III/VI</w:t>
            </w:r>
          </w:p>
        </w:tc>
        <w:tc>
          <w:tcPr>
            <w:tcW w:w="628" w:type="dxa"/>
            <w:textDirection w:val="lrTbV"/>
            <w:vAlign w:val="center"/>
          </w:tcPr>
          <w:p w14:paraId="60F24861">
            <w:pPr>
              <w:spacing w:after="0" w:line="240" w:lineRule="auto"/>
              <w:jc w:val="both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4/0/4</w:t>
            </w:r>
          </w:p>
        </w:tc>
        <w:tc>
          <w:tcPr>
            <w:tcW w:w="425" w:type="dxa"/>
            <w:textDirection w:val="lrTbV"/>
            <w:vAlign w:val="center"/>
          </w:tcPr>
          <w:p w14:paraId="6893D0E1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4</w:t>
            </w:r>
          </w:p>
        </w:tc>
        <w:tc>
          <w:tcPr>
            <w:tcW w:w="2552" w:type="dxa"/>
            <w:vAlign w:val="center"/>
          </w:tcPr>
          <w:p w14:paraId="259F0CBB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Nahida Srabović, vanr.prof.</w:t>
            </w:r>
          </w:p>
          <w:p w14:paraId="0D5BBF75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Esmeralda Dautović, doc.</w:t>
            </w:r>
          </w:p>
        </w:tc>
        <w:tc>
          <w:tcPr>
            <w:tcW w:w="567" w:type="dxa"/>
            <w:textDirection w:val="lrTbV"/>
            <w:vAlign w:val="center"/>
          </w:tcPr>
          <w:p w14:paraId="7E7B37DE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</w:p>
        </w:tc>
        <w:tc>
          <w:tcPr>
            <w:tcW w:w="567" w:type="dxa"/>
            <w:textDirection w:val="lrTbV"/>
            <w:vAlign w:val="center"/>
          </w:tcPr>
          <w:p w14:paraId="4E4D09BD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2</w:t>
            </w:r>
          </w:p>
          <w:p w14:paraId="2FC94599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7F59B10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 w:eastAsia="en-US"/>
              </w:rPr>
            </w:pPr>
          </w:p>
          <w:p w14:paraId="589BDF27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 w:eastAsia="en-US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 w:eastAsia="en-US"/>
              </w:rPr>
              <w:t>Esmeralda Dautović, doc.</w:t>
            </w:r>
          </w:p>
          <w:p w14:paraId="70149B16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 w:eastAsia="en-US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 w:eastAsia="en-US"/>
              </w:rPr>
              <w:t>Adaleta Softić, red.prof.</w:t>
            </w:r>
          </w:p>
          <w:p w14:paraId="30E2E925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 w:eastAsia="en-US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 w:eastAsia="en-US"/>
              </w:rPr>
              <w:br w:type="textWrapping"/>
            </w:r>
          </w:p>
        </w:tc>
        <w:tc>
          <w:tcPr>
            <w:tcW w:w="567" w:type="dxa"/>
            <w:textDirection w:val="lrTbV"/>
            <w:vAlign w:val="center"/>
          </w:tcPr>
          <w:p w14:paraId="14CABB6B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</w:p>
          <w:p w14:paraId="32CAB21B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</w:p>
        </w:tc>
        <w:tc>
          <w:tcPr>
            <w:tcW w:w="579" w:type="dxa"/>
            <w:textDirection w:val="lrTbV"/>
            <w:vAlign w:val="center"/>
          </w:tcPr>
          <w:p w14:paraId="1CF4F80A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3</w:t>
            </w:r>
          </w:p>
          <w:p w14:paraId="61B9E1EE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1</w:t>
            </w:r>
          </w:p>
          <w:p w14:paraId="7AA407F9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</w:p>
        </w:tc>
        <w:tc>
          <w:tcPr>
            <w:tcW w:w="2504" w:type="dxa"/>
            <w:vAlign w:val="center"/>
          </w:tcPr>
          <w:p w14:paraId="42CFA207"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  <w:t>Izmjena zbog imenovanja na funkcije dekana i prodekana.</w:t>
            </w:r>
          </w:p>
        </w:tc>
      </w:tr>
      <w:tr w14:paraId="21AE13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2977" w:type="dxa"/>
            <w:vAlign w:val="center"/>
          </w:tcPr>
          <w:p w14:paraId="4570620E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Farmakogenomika</w:t>
            </w:r>
          </w:p>
        </w:tc>
        <w:tc>
          <w:tcPr>
            <w:tcW w:w="790" w:type="dxa"/>
            <w:vAlign w:val="center"/>
          </w:tcPr>
          <w:p w14:paraId="5079604C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IV/VIII</w:t>
            </w:r>
          </w:p>
        </w:tc>
        <w:tc>
          <w:tcPr>
            <w:tcW w:w="628" w:type="dxa"/>
            <w:textDirection w:val="lrTbV"/>
            <w:vAlign w:val="center"/>
          </w:tcPr>
          <w:p w14:paraId="0A944780">
            <w:pPr>
              <w:spacing w:after="0" w:line="240" w:lineRule="auto"/>
              <w:jc w:val="both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2/0/0</w:t>
            </w:r>
          </w:p>
        </w:tc>
        <w:tc>
          <w:tcPr>
            <w:tcW w:w="425" w:type="dxa"/>
            <w:textDirection w:val="lrTbV"/>
            <w:vAlign w:val="center"/>
          </w:tcPr>
          <w:p w14:paraId="5A98CE11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2</w:t>
            </w:r>
          </w:p>
        </w:tc>
        <w:tc>
          <w:tcPr>
            <w:tcW w:w="2552" w:type="dxa"/>
            <w:vAlign w:val="center"/>
          </w:tcPr>
          <w:p w14:paraId="183B2F37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Esmeralda Dautović, doc.</w:t>
            </w:r>
          </w:p>
        </w:tc>
        <w:tc>
          <w:tcPr>
            <w:tcW w:w="567" w:type="dxa"/>
            <w:textDirection w:val="lrTbV"/>
            <w:vAlign w:val="center"/>
          </w:tcPr>
          <w:p w14:paraId="41B9CBB7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</w:p>
        </w:tc>
        <w:tc>
          <w:tcPr>
            <w:tcW w:w="567" w:type="dxa"/>
            <w:textDirection w:val="lrTbV"/>
            <w:vAlign w:val="center"/>
          </w:tcPr>
          <w:p w14:paraId="3140C120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6E0151C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 w:eastAsia="en-US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 w:eastAsia="en-US"/>
              </w:rPr>
              <w:t>Esmeralda Dautović, doc.</w:t>
            </w:r>
          </w:p>
          <w:p w14:paraId="67461635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 w:eastAsia="en-US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 w:eastAsia="en-US"/>
              </w:rPr>
              <w:t>Ermina Cilović, vanr.prof.</w:t>
            </w:r>
          </w:p>
          <w:p w14:paraId="67058A9E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 w:eastAsia="en-US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 w:eastAsia="en-US"/>
              </w:rPr>
              <w:t>Amra Džambić, doc.</w:t>
            </w:r>
          </w:p>
        </w:tc>
        <w:tc>
          <w:tcPr>
            <w:tcW w:w="567" w:type="dxa"/>
            <w:textDirection w:val="lrTbV"/>
            <w:vAlign w:val="center"/>
          </w:tcPr>
          <w:p w14:paraId="6CF8915B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</w:p>
        </w:tc>
        <w:tc>
          <w:tcPr>
            <w:tcW w:w="579" w:type="dxa"/>
            <w:textDirection w:val="lrTbV"/>
            <w:vAlign w:val="center"/>
          </w:tcPr>
          <w:p w14:paraId="26B8B58E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1</w:t>
            </w:r>
          </w:p>
          <w:p w14:paraId="2DB604CF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0,7</w:t>
            </w:r>
          </w:p>
          <w:p w14:paraId="44114D00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0,3</w:t>
            </w:r>
          </w:p>
        </w:tc>
        <w:tc>
          <w:tcPr>
            <w:tcW w:w="2504" w:type="dxa"/>
            <w:vAlign w:val="center"/>
          </w:tcPr>
          <w:p w14:paraId="02B52F2C"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  <w:t>Izmjena zbog imenovanja na funkcije dekana i prodekana.</w:t>
            </w:r>
          </w:p>
        </w:tc>
      </w:tr>
    </w:tbl>
    <w:p w14:paraId="7815C73C">
      <w:pPr>
        <w:tabs>
          <w:tab w:val="left" w:pos="7785"/>
          <w:tab w:val="left" w:pos="7938"/>
        </w:tabs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>Prodekan za nastavu i studentska pitanja:</w:t>
      </w:r>
    </w:p>
    <w:p w14:paraId="5A57D117">
      <w:pPr>
        <w:tabs>
          <w:tab w:val="left" w:pos="7938"/>
        </w:tabs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>Datum usvajanja na NNV/UNV:</w:t>
      </w:r>
      <w:r>
        <w:rPr>
          <w:rFonts w:hint="default" w:ascii="Times New Roman" w:hAnsi="Times New Roman"/>
          <w:lang w:val="bs-Latn-BA"/>
        </w:rPr>
        <w:t>12.03.2025.</w:t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 xml:space="preserve">Predsjedavajuća Naučno nastavnog vijeća: </w:t>
      </w:r>
    </w:p>
    <w:sectPr>
      <w:pgSz w:w="15840" w:h="12240" w:orient="landscape"/>
      <w:pgMar w:top="720" w:right="720" w:bottom="720" w:left="72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attachedTemplate r:id="rId1"/>
  <w:documentProtection w:enforcement="0"/>
  <w:defaultTabStop w:val="720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368"/>
    <w:rsid w:val="00013B4E"/>
    <w:rsid w:val="00023E31"/>
    <w:rsid w:val="000360EF"/>
    <w:rsid w:val="000361B6"/>
    <w:rsid w:val="00070D88"/>
    <w:rsid w:val="00074AE2"/>
    <w:rsid w:val="00095BAD"/>
    <w:rsid w:val="000A14E0"/>
    <w:rsid w:val="000B16AB"/>
    <w:rsid w:val="000B459A"/>
    <w:rsid w:val="000E7DFB"/>
    <w:rsid w:val="000F03F1"/>
    <w:rsid w:val="0011636F"/>
    <w:rsid w:val="001247D1"/>
    <w:rsid w:val="001263CB"/>
    <w:rsid w:val="00135270"/>
    <w:rsid w:val="00144100"/>
    <w:rsid w:val="001470A5"/>
    <w:rsid w:val="00151F35"/>
    <w:rsid w:val="001609AC"/>
    <w:rsid w:val="001720AB"/>
    <w:rsid w:val="00182482"/>
    <w:rsid w:val="00187F20"/>
    <w:rsid w:val="00192D6D"/>
    <w:rsid w:val="001A1F22"/>
    <w:rsid w:val="001C5DF1"/>
    <w:rsid w:val="001D0C2E"/>
    <w:rsid w:val="001D5FB8"/>
    <w:rsid w:val="001D7E95"/>
    <w:rsid w:val="0020449B"/>
    <w:rsid w:val="00206368"/>
    <w:rsid w:val="0021030F"/>
    <w:rsid w:val="002144DD"/>
    <w:rsid w:val="00223E2F"/>
    <w:rsid w:val="00225B94"/>
    <w:rsid w:val="002459EB"/>
    <w:rsid w:val="00250509"/>
    <w:rsid w:val="002665F4"/>
    <w:rsid w:val="00286525"/>
    <w:rsid w:val="00287205"/>
    <w:rsid w:val="0029304B"/>
    <w:rsid w:val="002A5FE8"/>
    <w:rsid w:val="002C1D33"/>
    <w:rsid w:val="002E0D4A"/>
    <w:rsid w:val="002E1C8D"/>
    <w:rsid w:val="002E299A"/>
    <w:rsid w:val="002F6C4D"/>
    <w:rsid w:val="0030095F"/>
    <w:rsid w:val="003012FD"/>
    <w:rsid w:val="003221DE"/>
    <w:rsid w:val="00327450"/>
    <w:rsid w:val="003351C7"/>
    <w:rsid w:val="00353B29"/>
    <w:rsid w:val="003624F0"/>
    <w:rsid w:val="00372795"/>
    <w:rsid w:val="003739D0"/>
    <w:rsid w:val="00382539"/>
    <w:rsid w:val="003878A0"/>
    <w:rsid w:val="003A7FFC"/>
    <w:rsid w:val="003B33CB"/>
    <w:rsid w:val="003B3729"/>
    <w:rsid w:val="003B7859"/>
    <w:rsid w:val="003C64BE"/>
    <w:rsid w:val="003D206C"/>
    <w:rsid w:val="003E1896"/>
    <w:rsid w:val="003E5412"/>
    <w:rsid w:val="003E7AEB"/>
    <w:rsid w:val="003F39B9"/>
    <w:rsid w:val="003F424A"/>
    <w:rsid w:val="003F6636"/>
    <w:rsid w:val="003F6E57"/>
    <w:rsid w:val="004234A0"/>
    <w:rsid w:val="004317B5"/>
    <w:rsid w:val="00451671"/>
    <w:rsid w:val="00491D1D"/>
    <w:rsid w:val="004A381E"/>
    <w:rsid w:val="004A61E2"/>
    <w:rsid w:val="004C36F2"/>
    <w:rsid w:val="004D307F"/>
    <w:rsid w:val="004D43A1"/>
    <w:rsid w:val="004D61DF"/>
    <w:rsid w:val="004E65D0"/>
    <w:rsid w:val="00511529"/>
    <w:rsid w:val="005149C9"/>
    <w:rsid w:val="00520A7F"/>
    <w:rsid w:val="00524315"/>
    <w:rsid w:val="005561AF"/>
    <w:rsid w:val="005571BE"/>
    <w:rsid w:val="00573DDB"/>
    <w:rsid w:val="00586B00"/>
    <w:rsid w:val="00591B80"/>
    <w:rsid w:val="005C1578"/>
    <w:rsid w:val="005C5340"/>
    <w:rsid w:val="005D3BB6"/>
    <w:rsid w:val="005E26D3"/>
    <w:rsid w:val="00620D46"/>
    <w:rsid w:val="00663346"/>
    <w:rsid w:val="00677BEC"/>
    <w:rsid w:val="006910B9"/>
    <w:rsid w:val="006A3D9E"/>
    <w:rsid w:val="006B2C20"/>
    <w:rsid w:val="006B4B7D"/>
    <w:rsid w:val="006D0B6D"/>
    <w:rsid w:val="006D585E"/>
    <w:rsid w:val="006E558F"/>
    <w:rsid w:val="006E5F5D"/>
    <w:rsid w:val="006F51DB"/>
    <w:rsid w:val="006F6D14"/>
    <w:rsid w:val="00701F0A"/>
    <w:rsid w:val="00706613"/>
    <w:rsid w:val="007215AF"/>
    <w:rsid w:val="00723396"/>
    <w:rsid w:val="00725F18"/>
    <w:rsid w:val="00736DA1"/>
    <w:rsid w:val="007560C8"/>
    <w:rsid w:val="007569A9"/>
    <w:rsid w:val="00760EEE"/>
    <w:rsid w:val="007A0102"/>
    <w:rsid w:val="007A2940"/>
    <w:rsid w:val="007C6A7D"/>
    <w:rsid w:val="007E2508"/>
    <w:rsid w:val="007E2BAF"/>
    <w:rsid w:val="007F7202"/>
    <w:rsid w:val="0080041A"/>
    <w:rsid w:val="0080418F"/>
    <w:rsid w:val="008050EC"/>
    <w:rsid w:val="008101F6"/>
    <w:rsid w:val="00845C8F"/>
    <w:rsid w:val="00862839"/>
    <w:rsid w:val="00865FBF"/>
    <w:rsid w:val="00866427"/>
    <w:rsid w:val="00870884"/>
    <w:rsid w:val="008743F2"/>
    <w:rsid w:val="00882641"/>
    <w:rsid w:val="008A0942"/>
    <w:rsid w:val="008B3724"/>
    <w:rsid w:val="008D6AE7"/>
    <w:rsid w:val="008E2B01"/>
    <w:rsid w:val="008E2E31"/>
    <w:rsid w:val="00900972"/>
    <w:rsid w:val="00912AB1"/>
    <w:rsid w:val="0092241A"/>
    <w:rsid w:val="00926101"/>
    <w:rsid w:val="0092740C"/>
    <w:rsid w:val="00934128"/>
    <w:rsid w:val="00952C6E"/>
    <w:rsid w:val="00953030"/>
    <w:rsid w:val="00953195"/>
    <w:rsid w:val="0097214B"/>
    <w:rsid w:val="00977731"/>
    <w:rsid w:val="009821A0"/>
    <w:rsid w:val="0098686A"/>
    <w:rsid w:val="00995D67"/>
    <w:rsid w:val="00997762"/>
    <w:rsid w:val="009A5DD1"/>
    <w:rsid w:val="009A750B"/>
    <w:rsid w:val="009C1C73"/>
    <w:rsid w:val="009C623B"/>
    <w:rsid w:val="009F0004"/>
    <w:rsid w:val="00A00F1B"/>
    <w:rsid w:val="00A27EFB"/>
    <w:rsid w:val="00A4027F"/>
    <w:rsid w:val="00A4041C"/>
    <w:rsid w:val="00A46A9B"/>
    <w:rsid w:val="00A507FD"/>
    <w:rsid w:val="00A65107"/>
    <w:rsid w:val="00A742D3"/>
    <w:rsid w:val="00A75055"/>
    <w:rsid w:val="00A7789E"/>
    <w:rsid w:val="00A87CF6"/>
    <w:rsid w:val="00A9233D"/>
    <w:rsid w:val="00AA07D8"/>
    <w:rsid w:val="00AB15C5"/>
    <w:rsid w:val="00AC6757"/>
    <w:rsid w:val="00AD7523"/>
    <w:rsid w:val="00AE39D5"/>
    <w:rsid w:val="00AE6405"/>
    <w:rsid w:val="00AE6579"/>
    <w:rsid w:val="00B03D00"/>
    <w:rsid w:val="00B14515"/>
    <w:rsid w:val="00B15CBD"/>
    <w:rsid w:val="00B263D7"/>
    <w:rsid w:val="00B266E6"/>
    <w:rsid w:val="00B277F0"/>
    <w:rsid w:val="00B429D8"/>
    <w:rsid w:val="00B455CB"/>
    <w:rsid w:val="00B46D3E"/>
    <w:rsid w:val="00B4704D"/>
    <w:rsid w:val="00B571CC"/>
    <w:rsid w:val="00B61073"/>
    <w:rsid w:val="00B65810"/>
    <w:rsid w:val="00BB5871"/>
    <w:rsid w:val="00BC7A67"/>
    <w:rsid w:val="00BE17B3"/>
    <w:rsid w:val="00BF11B3"/>
    <w:rsid w:val="00C00DA2"/>
    <w:rsid w:val="00C04827"/>
    <w:rsid w:val="00C142EC"/>
    <w:rsid w:val="00C27A95"/>
    <w:rsid w:val="00C439F4"/>
    <w:rsid w:val="00C6137D"/>
    <w:rsid w:val="00C874E8"/>
    <w:rsid w:val="00CB5E1B"/>
    <w:rsid w:val="00CC6D94"/>
    <w:rsid w:val="00CD01F6"/>
    <w:rsid w:val="00CD28D9"/>
    <w:rsid w:val="00CE7BED"/>
    <w:rsid w:val="00CF06B4"/>
    <w:rsid w:val="00D14794"/>
    <w:rsid w:val="00D16F66"/>
    <w:rsid w:val="00D208E5"/>
    <w:rsid w:val="00D248DC"/>
    <w:rsid w:val="00D2703E"/>
    <w:rsid w:val="00D926B3"/>
    <w:rsid w:val="00DA311B"/>
    <w:rsid w:val="00DA7C65"/>
    <w:rsid w:val="00DB2CBC"/>
    <w:rsid w:val="00DC28C0"/>
    <w:rsid w:val="00DD2D9C"/>
    <w:rsid w:val="00DD7BC2"/>
    <w:rsid w:val="00DE5387"/>
    <w:rsid w:val="00DE6AC5"/>
    <w:rsid w:val="00E03F0D"/>
    <w:rsid w:val="00E1360D"/>
    <w:rsid w:val="00E5386D"/>
    <w:rsid w:val="00E54A53"/>
    <w:rsid w:val="00E66A79"/>
    <w:rsid w:val="00E83DC4"/>
    <w:rsid w:val="00E94F8A"/>
    <w:rsid w:val="00EB47B4"/>
    <w:rsid w:val="00EC6E75"/>
    <w:rsid w:val="00EE1E2D"/>
    <w:rsid w:val="00EE3A76"/>
    <w:rsid w:val="00EF2873"/>
    <w:rsid w:val="00EF39B3"/>
    <w:rsid w:val="00EF5393"/>
    <w:rsid w:val="00F359BC"/>
    <w:rsid w:val="00F557C0"/>
    <w:rsid w:val="00F6332C"/>
    <w:rsid w:val="00F65E85"/>
    <w:rsid w:val="00F7092C"/>
    <w:rsid w:val="00F74D79"/>
    <w:rsid w:val="00F7533E"/>
    <w:rsid w:val="00F86EE2"/>
    <w:rsid w:val="00F9189C"/>
    <w:rsid w:val="00FC6D75"/>
    <w:rsid w:val="00FC7CE3"/>
    <w:rsid w:val="00FD0E6C"/>
    <w:rsid w:val="00FD1BAE"/>
    <w:rsid w:val="00FD37E7"/>
    <w:rsid w:val="00FD6B29"/>
    <w:rsid w:val="00FF6423"/>
    <w:rsid w:val="043D4575"/>
    <w:rsid w:val="054B46DC"/>
    <w:rsid w:val="06056A6E"/>
    <w:rsid w:val="0C97665A"/>
    <w:rsid w:val="0CB43498"/>
    <w:rsid w:val="0DCD0D76"/>
    <w:rsid w:val="0F9E3E16"/>
    <w:rsid w:val="13F13588"/>
    <w:rsid w:val="152260BC"/>
    <w:rsid w:val="154766E3"/>
    <w:rsid w:val="15FD2AA2"/>
    <w:rsid w:val="18DF5509"/>
    <w:rsid w:val="1CE01DF0"/>
    <w:rsid w:val="1DA64B69"/>
    <w:rsid w:val="1E49362B"/>
    <w:rsid w:val="1E981141"/>
    <w:rsid w:val="1F33045A"/>
    <w:rsid w:val="22D97EBC"/>
    <w:rsid w:val="240E784B"/>
    <w:rsid w:val="265440DD"/>
    <w:rsid w:val="26DF4E6D"/>
    <w:rsid w:val="2D580F5B"/>
    <w:rsid w:val="2DCD6330"/>
    <w:rsid w:val="2F581996"/>
    <w:rsid w:val="2FA92D39"/>
    <w:rsid w:val="356C3BAA"/>
    <w:rsid w:val="36B3269F"/>
    <w:rsid w:val="38AB452C"/>
    <w:rsid w:val="39EE3018"/>
    <w:rsid w:val="42091F04"/>
    <w:rsid w:val="42BC5B84"/>
    <w:rsid w:val="43847352"/>
    <w:rsid w:val="45AB21DA"/>
    <w:rsid w:val="45CD56CD"/>
    <w:rsid w:val="4750610E"/>
    <w:rsid w:val="4A861153"/>
    <w:rsid w:val="4A8A736F"/>
    <w:rsid w:val="4C1454C6"/>
    <w:rsid w:val="4C147660"/>
    <w:rsid w:val="4D8F63ED"/>
    <w:rsid w:val="501D29FE"/>
    <w:rsid w:val="58605108"/>
    <w:rsid w:val="5BD5353A"/>
    <w:rsid w:val="5FB151A6"/>
    <w:rsid w:val="652374D0"/>
    <w:rsid w:val="65B60BEC"/>
    <w:rsid w:val="6A7342AA"/>
    <w:rsid w:val="6ADD0B5E"/>
    <w:rsid w:val="6C76025E"/>
    <w:rsid w:val="73B57063"/>
    <w:rsid w:val="74B3526A"/>
    <w:rsid w:val="77A1504F"/>
    <w:rsid w:val="7B413119"/>
    <w:rsid w:val="7EB26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mir\Application%20Data\Microsoft\Templates\Dopi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D1A8C-5420-478A-AC47-67DFF5B3C84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</Template>
  <Company>Grizli777</Company>
  <Pages>1</Pages>
  <Words>607</Words>
  <Characters>3464</Characters>
  <Lines>28</Lines>
  <Paragraphs>8</Paragraphs>
  <TotalTime>63</TotalTime>
  <ScaleCrop>false</ScaleCrop>
  <LinksUpToDate>false</LinksUpToDate>
  <CharactersWithSpaces>4063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2021-02-25T08:38:00Z</dcterms:created>
  <dc:creator>Emir</dc:creator>
  <cp:lastModifiedBy>ERF2</cp:lastModifiedBy>
  <cp:lastPrinted>2018-12-10T09:56:00Z</cp:lastPrinted>
  <dcterms:modified xsi:type="dcterms:W3CDTF">2025-03-11T14:57:27Z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1033-12.2.0.20326</vt:lpwstr>
  </property>
  <property fmtid="{D5CDD505-2E9C-101B-9397-08002B2CF9AE}" pid="3" name="ICV">
    <vt:lpwstr>A7FB7EE36B0A40A4BE1424DDF13EBFA6_13</vt:lpwstr>
  </property>
</Properties>
</file>